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2"/>
        <w:rPr>
          <w:rFonts w:ascii="Times New Roman"/>
          <w:sz w:val="18"/>
        </w:rPr>
      </w:pPr>
    </w:p>
    <w:tbl>
      <w:tblPr>
        <w:tblW w:w="0" w:type="auto"/>
        <w:jc w:val="left"/>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26"/>
        <w:gridCol w:w="6919"/>
        <w:gridCol w:w="1697"/>
      </w:tblGrid>
      <w:tr>
        <w:trPr>
          <w:trHeight w:val="1830" w:hRule="atLeast"/>
        </w:trPr>
        <w:tc>
          <w:tcPr>
            <w:tcW w:w="1526" w:type="dxa"/>
          </w:tcPr>
          <w:p>
            <w:pPr>
              <w:pStyle w:val="TableParagraph"/>
              <w:spacing w:before="1"/>
              <w:ind w:left="0"/>
              <w:rPr>
                <w:rFonts w:ascii="Times New Roman"/>
                <w:sz w:val="8"/>
              </w:rPr>
            </w:pPr>
          </w:p>
          <w:p>
            <w:pPr>
              <w:pStyle w:val="TableParagraph"/>
              <w:ind w:left="205"/>
              <w:rPr>
                <w:rFonts w:ascii="Times New Roman"/>
                <w:sz w:val="20"/>
              </w:rPr>
            </w:pPr>
            <w:r>
              <w:rPr>
                <w:rFonts w:ascii="Times New Roman"/>
                <w:sz w:val="20"/>
              </w:rPr>
              <w:drawing>
                <wp:inline distT="0" distB="0" distL="0" distR="0">
                  <wp:extent cx="705860" cy="89582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05860" cy="895826"/>
                          </a:xfrm>
                          <a:prstGeom prst="rect">
                            <a:avLst/>
                          </a:prstGeom>
                        </pic:spPr>
                      </pic:pic>
                    </a:graphicData>
                  </a:graphic>
                </wp:inline>
              </w:drawing>
            </w:r>
            <w:r>
              <w:rPr>
                <w:rFonts w:ascii="Times New Roman"/>
                <w:sz w:val="20"/>
              </w:rPr>
            </w:r>
          </w:p>
        </w:tc>
        <w:tc>
          <w:tcPr>
            <w:tcW w:w="6919" w:type="dxa"/>
            <w:tcBorders>
              <w:right w:val="single" w:sz="4" w:space="0" w:color="000000"/>
            </w:tcBorders>
          </w:tcPr>
          <w:p>
            <w:pPr>
              <w:pStyle w:val="TableParagraph"/>
              <w:ind w:right="122"/>
              <w:jc w:val="center"/>
              <w:rPr>
                <w:b/>
                <w:sz w:val="32"/>
              </w:rPr>
            </w:pPr>
            <w:r>
              <w:rPr>
                <w:b/>
                <w:sz w:val="32"/>
              </w:rPr>
              <w:t>RAJIV GANDHI CENTRE FOR AQUACULTURE</w:t>
            </w:r>
          </w:p>
          <w:p>
            <w:pPr>
              <w:pStyle w:val="TableParagraph"/>
              <w:spacing w:before="2"/>
              <w:ind w:right="131"/>
              <w:jc w:val="center"/>
              <w:rPr>
                <w:sz w:val="24"/>
              </w:rPr>
            </w:pPr>
            <w:r>
              <w:rPr>
                <w:b/>
                <w:sz w:val="24"/>
              </w:rPr>
              <w:t>(MPEDA, MINISTRY OF COMMERCE &amp; INDUSTRY, GOVT. OF INDIA</w:t>
            </w:r>
            <w:r>
              <w:rPr>
                <w:sz w:val="24"/>
              </w:rPr>
              <w:t>) TECHNOLOGY TRANSFER TRAINING &amp; ADMINISTRATIVE COMPLEX, SIRKALI TALUK-609109, MAYILADUTHURAI DIST., TAMIL NADU</w:t>
            </w:r>
          </w:p>
          <w:p>
            <w:pPr>
              <w:pStyle w:val="TableParagraph"/>
              <w:spacing w:line="290" w:lineRule="exact"/>
              <w:ind w:right="122"/>
              <w:jc w:val="center"/>
              <w:rPr>
                <w:sz w:val="24"/>
              </w:rPr>
            </w:pPr>
            <w:r>
              <w:rPr>
                <w:sz w:val="24"/>
              </w:rPr>
              <w:t>Phone: +91 4364 265200 E mail: </w:t>
            </w:r>
            <w:hyperlink r:id="rId6">
              <w:r>
                <w:rPr>
                  <w:sz w:val="24"/>
                </w:rPr>
                <w:t>rgcaho@gmail.com,</w:t>
              </w:r>
            </w:hyperlink>
          </w:p>
          <w:p>
            <w:pPr>
              <w:pStyle w:val="TableParagraph"/>
              <w:spacing w:line="249" w:lineRule="exact"/>
              <w:ind w:right="125"/>
              <w:jc w:val="center"/>
              <w:rPr>
                <w:sz w:val="22"/>
              </w:rPr>
            </w:pPr>
            <w:hyperlink r:id="rId7">
              <w:r>
                <w:rPr>
                  <w:sz w:val="22"/>
                </w:rPr>
                <w:t>rgcavannameibmc@gmail.com</w:t>
              </w:r>
            </w:hyperlink>
          </w:p>
        </w:tc>
        <w:tc>
          <w:tcPr>
            <w:tcW w:w="1697" w:type="dxa"/>
            <w:tcBorders>
              <w:top w:val="single" w:sz="4" w:space="0" w:color="000000"/>
              <w:left w:val="single" w:sz="4" w:space="0" w:color="000000"/>
            </w:tcBorders>
          </w:tcPr>
          <w:p>
            <w:pPr>
              <w:pStyle w:val="TableParagraph"/>
              <w:spacing w:before="9"/>
              <w:ind w:left="0"/>
              <w:rPr>
                <w:rFonts w:ascii="Times New Roman"/>
                <w:sz w:val="14"/>
              </w:rPr>
            </w:pPr>
          </w:p>
          <w:p>
            <w:pPr>
              <w:pStyle w:val="TableParagraph"/>
              <w:ind w:left="108"/>
              <w:rPr>
                <w:rFonts w:ascii="Times New Roman"/>
                <w:sz w:val="20"/>
              </w:rPr>
            </w:pPr>
            <w:r>
              <w:rPr>
                <w:rFonts w:ascii="Times New Roman"/>
                <w:sz w:val="20"/>
              </w:rPr>
              <w:drawing>
                <wp:inline distT="0" distB="0" distL="0" distR="0">
                  <wp:extent cx="938784" cy="704088"/>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938784" cy="704088"/>
                          </a:xfrm>
                          <a:prstGeom prst="rect">
                            <a:avLst/>
                          </a:prstGeom>
                        </pic:spPr>
                      </pic:pic>
                    </a:graphicData>
                  </a:graphic>
                </wp:inline>
              </w:drawing>
            </w:r>
            <w:r>
              <w:rPr>
                <w:rFonts w:ascii="Times New Roman"/>
                <w:sz w:val="20"/>
              </w:rPr>
            </w:r>
          </w:p>
        </w:tc>
      </w:tr>
    </w:tbl>
    <w:p>
      <w:pPr>
        <w:pStyle w:val="BodyText"/>
        <w:spacing w:before="9"/>
        <w:rPr>
          <w:rFonts w:ascii="Times New Roman"/>
          <w:sz w:val="19"/>
        </w:rPr>
      </w:pPr>
    </w:p>
    <w:p>
      <w:pPr>
        <w:tabs>
          <w:tab w:pos="9883" w:val="right" w:leader="none"/>
        </w:tabs>
        <w:spacing w:before="88"/>
        <w:ind w:left="620" w:right="0" w:firstLine="0"/>
        <w:jc w:val="left"/>
        <w:rPr>
          <w:rFonts w:ascii="Bookman Old Style"/>
          <w:b w:val="0"/>
          <w:sz w:val="24"/>
        </w:rPr>
      </w:pPr>
      <w:r>
        <w:rPr>
          <w:rFonts w:ascii="Bookman Old Style"/>
          <w:b w:val="0"/>
          <w:sz w:val="24"/>
        </w:rPr>
        <w:t>RGCA/5.5-4/PROJ/2021</w:t>
        <w:tab/>
        <w:t>07.04.2021</w:t>
      </w:r>
    </w:p>
    <w:p>
      <w:pPr>
        <w:pStyle w:val="BodyText"/>
        <w:spacing w:before="7"/>
        <w:rPr>
          <w:rFonts w:ascii="Bookman Old Style"/>
          <w:b w:val="0"/>
          <w:sz w:val="23"/>
        </w:rPr>
      </w:pPr>
    </w:p>
    <w:p>
      <w:pPr>
        <w:pStyle w:val="Heading1"/>
      </w:pPr>
      <w:r>
        <w:rPr/>
        <w:t>Inviting applications for leasing out CAA approved</w:t>
      </w:r>
    </w:p>
    <w:p>
      <w:pPr>
        <w:spacing w:before="51"/>
        <w:ind w:left="1959" w:right="0" w:firstLine="0"/>
        <w:jc w:val="left"/>
        <w:rPr>
          <w:b/>
          <w:sz w:val="28"/>
        </w:rPr>
      </w:pPr>
      <w:r>
        <w:rPr>
          <w:b/>
          <w:i/>
          <w:sz w:val="28"/>
        </w:rPr>
        <w:t>L vannamei </w:t>
      </w:r>
      <w:r>
        <w:rPr>
          <w:b/>
          <w:sz w:val="28"/>
        </w:rPr>
        <w:t>shrimp hatcheries for the production of</w:t>
      </w:r>
    </w:p>
    <w:p>
      <w:pPr>
        <w:pStyle w:val="Heading1"/>
        <w:spacing w:before="52"/>
        <w:ind w:left="4013"/>
      </w:pPr>
      <w:r>
        <w:rPr/>
        <w:t>high health seeds</w:t>
      </w:r>
    </w:p>
    <w:p>
      <w:pPr>
        <w:pStyle w:val="BodyText"/>
        <w:spacing w:before="10"/>
        <w:rPr>
          <w:b/>
          <w:sz w:val="32"/>
        </w:rPr>
      </w:pPr>
    </w:p>
    <w:p>
      <w:pPr>
        <w:pStyle w:val="BodyText"/>
        <w:spacing w:line="276" w:lineRule="auto"/>
        <w:ind w:left="620" w:right="733"/>
        <w:jc w:val="both"/>
      </w:pPr>
      <w:r>
        <w:rPr/>
        <w:t>Rajiv Gandhi Centre for Aquaculture (RGCA), a society of Marine Products</w:t>
      </w:r>
      <w:r>
        <w:rPr>
          <w:spacing w:val="-8"/>
        </w:rPr>
        <w:t> </w:t>
      </w:r>
      <w:r>
        <w:rPr/>
        <w:t>Export</w:t>
      </w:r>
      <w:r>
        <w:rPr>
          <w:spacing w:val="-10"/>
        </w:rPr>
        <w:t> </w:t>
      </w:r>
      <w:r>
        <w:rPr/>
        <w:t>Development</w:t>
      </w:r>
      <w:r>
        <w:rPr>
          <w:spacing w:val="-9"/>
        </w:rPr>
        <w:t> </w:t>
      </w:r>
      <w:r>
        <w:rPr/>
        <w:t>Authority</w:t>
      </w:r>
      <w:r>
        <w:rPr>
          <w:spacing w:val="-11"/>
        </w:rPr>
        <w:t> </w:t>
      </w:r>
      <w:r>
        <w:rPr/>
        <w:t>(MPEDA)</w:t>
      </w:r>
      <w:r>
        <w:rPr>
          <w:spacing w:val="-11"/>
        </w:rPr>
        <w:t> </w:t>
      </w:r>
      <w:r>
        <w:rPr/>
        <w:t>an</w:t>
      </w:r>
      <w:r>
        <w:rPr>
          <w:spacing w:val="-8"/>
        </w:rPr>
        <w:t> </w:t>
      </w:r>
      <w:r>
        <w:rPr/>
        <w:t>autonomous</w:t>
      </w:r>
      <w:r>
        <w:rPr>
          <w:spacing w:val="-8"/>
        </w:rPr>
        <w:t> </w:t>
      </w:r>
      <w:r>
        <w:rPr/>
        <w:t>body of Ministry of Commerce &amp; Industry, Govt. of India is willing to take on lease two numbers (one in the coast of Andhra Pradesh and the other in the coast of Tamilnadu) of </w:t>
      </w:r>
      <w:r>
        <w:rPr>
          <w:i/>
        </w:rPr>
        <w:t>L vannamei </w:t>
      </w:r>
      <w:r>
        <w:rPr/>
        <w:t>shrimp hatcheries approved by Coastal Aquaculture Authority with dedicated maturation facilities for Broodstock holding and nauplii production. Hence, RGCA invites applications from owners of the CAA registered </w:t>
      </w:r>
      <w:r>
        <w:rPr>
          <w:i/>
        </w:rPr>
        <w:t>L vannamei </w:t>
      </w:r>
      <w:r>
        <w:rPr/>
        <w:t>shrimp hatcheries</w:t>
      </w:r>
      <w:r>
        <w:rPr>
          <w:spacing w:val="-15"/>
        </w:rPr>
        <w:t> </w:t>
      </w:r>
      <w:r>
        <w:rPr/>
        <w:t>of</w:t>
      </w:r>
      <w:r>
        <w:rPr>
          <w:spacing w:val="-17"/>
        </w:rPr>
        <w:t> </w:t>
      </w:r>
      <w:r>
        <w:rPr/>
        <w:t>respective</w:t>
      </w:r>
      <w:r>
        <w:rPr>
          <w:spacing w:val="-16"/>
        </w:rPr>
        <w:t> </w:t>
      </w:r>
      <w:r>
        <w:rPr/>
        <w:t>areas</w:t>
      </w:r>
      <w:r>
        <w:rPr>
          <w:spacing w:val="-11"/>
        </w:rPr>
        <w:t> </w:t>
      </w:r>
      <w:r>
        <w:rPr/>
        <w:t>with</w:t>
      </w:r>
      <w:r>
        <w:rPr>
          <w:spacing w:val="-16"/>
        </w:rPr>
        <w:t> </w:t>
      </w:r>
      <w:r>
        <w:rPr/>
        <w:t>a</w:t>
      </w:r>
      <w:r>
        <w:rPr>
          <w:spacing w:val="-16"/>
        </w:rPr>
        <w:t> </w:t>
      </w:r>
      <w:r>
        <w:rPr/>
        <w:t>production</w:t>
      </w:r>
      <w:r>
        <w:rPr>
          <w:spacing w:val="-16"/>
        </w:rPr>
        <w:t> </w:t>
      </w:r>
      <w:r>
        <w:rPr/>
        <w:t>capacity</w:t>
      </w:r>
      <w:r>
        <w:rPr>
          <w:spacing w:val="-17"/>
        </w:rPr>
        <w:t> </w:t>
      </w:r>
      <w:r>
        <w:rPr/>
        <w:t>of</w:t>
      </w:r>
      <w:r>
        <w:rPr>
          <w:spacing w:val="-13"/>
        </w:rPr>
        <w:t> </w:t>
      </w:r>
      <w:r>
        <w:rPr/>
        <w:t>more</w:t>
      </w:r>
      <w:r>
        <w:rPr>
          <w:spacing w:val="-15"/>
        </w:rPr>
        <w:t> </w:t>
      </w:r>
      <w:r>
        <w:rPr/>
        <w:t>than</w:t>
      </w:r>
      <w:r>
        <w:rPr>
          <w:spacing w:val="-15"/>
        </w:rPr>
        <w:t> </w:t>
      </w:r>
      <w:r>
        <w:rPr/>
        <w:t>100 million Post Larvae per annum in full running condition with all functional equipments, machineries and staff required for the hatchery operation</w:t>
      </w:r>
      <w:r>
        <w:rPr>
          <w:spacing w:val="34"/>
        </w:rPr>
        <w:t> </w:t>
      </w:r>
      <w:r>
        <w:rPr/>
        <w:t>to</w:t>
      </w:r>
      <w:r>
        <w:rPr>
          <w:spacing w:val="32"/>
        </w:rPr>
        <w:t> </w:t>
      </w:r>
      <w:r>
        <w:rPr/>
        <w:t>send</w:t>
      </w:r>
      <w:r>
        <w:rPr>
          <w:spacing w:val="29"/>
        </w:rPr>
        <w:t> </w:t>
      </w:r>
      <w:r>
        <w:rPr/>
        <w:t>their</w:t>
      </w:r>
      <w:r>
        <w:rPr>
          <w:spacing w:val="32"/>
        </w:rPr>
        <w:t> </w:t>
      </w:r>
      <w:r>
        <w:rPr/>
        <w:t>willingness</w:t>
      </w:r>
      <w:r>
        <w:rPr>
          <w:spacing w:val="33"/>
        </w:rPr>
        <w:t> </w:t>
      </w:r>
      <w:r>
        <w:rPr/>
        <w:t>to</w:t>
      </w:r>
      <w:r>
        <w:rPr>
          <w:spacing w:val="28"/>
        </w:rPr>
        <w:t> </w:t>
      </w:r>
      <w:r>
        <w:rPr/>
        <w:t>lease</w:t>
      </w:r>
      <w:r>
        <w:rPr>
          <w:spacing w:val="32"/>
        </w:rPr>
        <w:t> </w:t>
      </w:r>
      <w:r>
        <w:rPr/>
        <w:t>out</w:t>
      </w:r>
      <w:r>
        <w:rPr>
          <w:spacing w:val="32"/>
        </w:rPr>
        <w:t> </w:t>
      </w:r>
      <w:r>
        <w:rPr/>
        <w:t>their</w:t>
      </w:r>
      <w:r>
        <w:rPr>
          <w:spacing w:val="31"/>
        </w:rPr>
        <w:t> </w:t>
      </w:r>
      <w:r>
        <w:rPr/>
        <w:t>hatchery</w:t>
      </w:r>
      <w:r>
        <w:rPr>
          <w:spacing w:val="30"/>
        </w:rPr>
        <w:t> </w:t>
      </w:r>
      <w:r>
        <w:rPr/>
        <w:t>facilities</w:t>
      </w:r>
    </w:p>
    <w:p>
      <w:pPr>
        <w:pStyle w:val="ListParagraph"/>
        <w:numPr>
          <w:ilvl w:val="2"/>
          <w:numId w:val="1"/>
        </w:numPr>
        <w:tabs>
          <w:tab w:pos="1326" w:val="left" w:leader="none"/>
        </w:tabs>
        <w:spacing w:line="276" w:lineRule="auto" w:before="3" w:after="0"/>
        <w:ind w:left="620" w:right="734" w:firstLine="0"/>
        <w:jc w:val="both"/>
        <w:rPr>
          <w:sz w:val="28"/>
        </w:rPr>
      </w:pPr>
      <w:r>
        <w:rPr>
          <w:sz w:val="28"/>
        </w:rPr>
        <w:t>01.06.2021to RGCA for a period of one year lease. The owners of hatcheries complying with the requirements are requested to send their application to the above address on or before 5 PM of 20.04.2021 indicating the expected annual lease for the</w:t>
      </w:r>
      <w:r>
        <w:rPr>
          <w:spacing w:val="3"/>
          <w:sz w:val="28"/>
        </w:rPr>
        <w:t> </w:t>
      </w:r>
      <w:r>
        <w:rPr>
          <w:sz w:val="28"/>
        </w:rPr>
        <w:t>facility.</w:t>
      </w:r>
    </w:p>
    <w:p>
      <w:pPr>
        <w:pStyle w:val="BodyText"/>
        <w:rPr>
          <w:sz w:val="34"/>
        </w:rPr>
      </w:pPr>
    </w:p>
    <w:p>
      <w:pPr>
        <w:pStyle w:val="Heading1"/>
        <w:spacing w:before="239"/>
        <w:ind w:left="3218" w:right="3341"/>
        <w:jc w:val="center"/>
      </w:pPr>
      <w:r>
        <w:rPr/>
        <w:t>TERMS AND CONDITIONS</w:t>
      </w:r>
    </w:p>
    <w:p>
      <w:pPr>
        <w:pStyle w:val="BodyText"/>
        <w:spacing w:before="8"/>
        <w:rPr>
          <w:b/>
          <w:sz w:val="27"/>
        </w:rPr>
      </w:pPr>
    </w:p>
    <w:p>
      <w:pPr>
        <w:pStyle w:val="ListParagraph"/>
        <w:numPr>
          <w:ilvl w:val="3"/>
          <w:numId w:val="1"/>
        </w:numPr>
        <w:tabs>
          <w:tab w:pos="1431" w:val="left" w:leader="none"/>
          <w:tab w:pos="1432" w:val="left" w:leader="none"/>
        </w:tabs>
        <w:spacing w:line="240" w:lineRule="auto" w:before="0" w:after="0"/>
        <w:ind w:left="1431" w:right="0" w:hanging="452"/>
        <w:jc w:val="left"/>
        <w:rPr>
          <w:sz w:val="28"/>
        </w:rPr>
      </w:pPr>
      <w:r>
        <w:rPr>
          <w:i/>
          <w:sz w:val="28"/>
        </w:rPr>
        <w:t>L vannamei </w:t>
      </w:r>
      <w:r>
        <w:rPr>
          <w:sz w:val="28"/>
        </w:rPr>
        <w:t>shrimp hatchery should be registered with</w:t>
      </w:r>
      <w:r>
        <w:rPr>
          <w:spacing w:val="-7"/>
          <w:sz w:val="28"/>
        </w:rPr>
        <w:t> </w:t>
      </w:r>
      <w:r>
        <w:rPr>
          <w:sz w:val="28"/>
        </w:rPr>
        <w:t>CAA.</w:t>
      </w:r>
    </w:p>
    <w:p>
      <w:pPr>
        <w:spacing w:after="0" w:line="240" w:lineRule="auto"/>
        <w:jc w:val="left"/>
        <w:rPr>
          <w:sz w:val="28"/>
        </w:rPr>
        <w:sectPr>
          <w:type w:val="continuous"/>
          <w:pgSz w:w="11900" w:h="16840"/>
          <w:pgMar w:top="1600" w:bottom="280" w:left="820" w:right="700"/>
        </w:sectPr>
      </w:pPr>
    </w:p>
    <w:p>
      <w:pPr>
        <w:pStyle w:val="ListParagraph"/>
        <w:numPr>
          <w:ilvl w:val="3"/>
          <w:numId w:val="1"/>
        </w:numPr>
        <w:tabs>
          <w:tab w:pos="1432" w:val="left" w:leader="none"/>
        </w:tabs>
        <w:spacing w:line="240" w:lineRule="auto" w:before="76" w:after="0"/>
        <w:ind w:left="1431" w:right="737" w:hanging="452"/>
        <w:jc w:val="both"/>
        <w:rPr>
          <w:sz w:val="28"/>
        </w:rPr>
      </w:pPr>
      <w:r>
        <w:rPr>
          <w:sz w:val="28"/>
        </w:rPr>
        <w:t>The hatchery should have all the facilities required in operational condition viz. Pumps, motors, blowers, Diesel Generators,</w:t>
      </w:r>
      <w:r>
        <w:rPr>
          <w:spacing w:val="-45"/>
          <w:sz w:val="28"/>
        </w:rPr>
        <w:t> </w:t>
      </w:r>
      <w:r>
        <w:rPr>
          <w:sz w:val="28"/>
        </w:rPr>
        <w:t>heaters, FRP tanks, necessary lightings, air conditioners, deep freezers</w:t>
      </w:r>
      <w:r>
        <w:rPr>
          <w:spacing w:val="-24"/>
          <w:sz w:val="28"/>
        </w:rPr>
        <w:t> </w:t>
      </w:r>
      <w:r>
        <w:rPr>
          <w:sz w:val="28"/>
        </w:rPr>
        <w:t>etc.</w:t>
      </w:r>
    </w:p>
    <w:p>
      <w:pPr>
        <w:pStyle w:val="ListParagraph"/>
        <w:numPr>
          <w:ilvl w:val="3"/>
          <w:numId w:val="1"/>
        </w:numPr>
        <w:tabs>
          <w:tab w:pos="1432" w:val="left" w:leader="none"/>
        </w:tabs>
        <w:spacing w:line="240" w:lineRule="auto" w:before="171" w:after="0"/>
        <w:ind w:left="1431" w:right="734" w:hanging="452"/>
        <w:jc w:val="both"/>
        <w:rPr>
          <w:sz w:val="28"/>
        </w:rPr>
      </w:pPr>
      <w:r>
        <w:rPr>
          <w:sz w:val="28"/>
        </w:rPr>
        <w:t>The hatchery should have a separate maturation facility with at least two no’s of cubicles to maintain 400 pairs of Broodstock at a time,</w:t>
      </w:r>
      <w:r>
        <w:rPr>
          <w:spacing w:val="-15"/>
          <w:sz w:val="28"/>
        </w:rPr>
        <w:t> </w:t>
      </w:r>
      <w:r>
        <w:rPr>
          <w:sz w:val="28"/>
        </w:rPr>
        <w:t>the</w:t>
      </w:r>
      <w:r>
        <w:rPr>
          <w:spacing w:val="-15"/>
          <w:sz w:val="28"/>
        </w:rPr>
        <w:t> </w:t>
      </w:r>
      <w:r>
        <w:rPr>
          <w:sz w:val="28"/>
        </w:rPr>
        <w:t>Larval/Post</w:t>
      </w:r>
      <w:r>
        <w:rPr>
          <w:spacing w:val="-17"/>
          <w:sz w:val="28"/>
        </w:rPr>
        <w:t> </w:t>
      </w:r>
      <w:r>
        <w:rPr>
          <w:sz w:val="28"/>
        </w:rPr>
        <w:t>Larval</w:t>
      </w:r>
      <w:r>
        <w:rPr>
          <w:spacing w:val="-15"/>
          <w:sz w:val="28"/>
        </w:rPr>
        <w:t> </w:t>
      </w:r>
      <w:r>
        <w:rPr>
          <w:sz w:val="28"/>
        </w:rPr>
        <w:t>holding</w:t>
      </w:r>
      <w:r>
        <w:rPr>
          <w:spacing w:val="-13"/>
          <w:sz w:val="28"/>
        </w:rPr>
        <w:t> </w:t>
      </w:r>
      <w:r>
        <w:rPr>
          <w:sz w:val="28"/>
        </w:rPr>
        <w:t>facility</w:t>
      </w:r>
      <w:r>
        <w:rPr>
          <w:spacing w:val="-17"/>
          <w:sz w:val="28"/>
        </w:rPr>
        <w:t> </w:t>
      </w:r>
      <w:r>
        <w:rPr>
          <w:sz w:val="28"/>
        </w:rPr>
        <w:t>with</w:t>
      </w:r>
      <w:r>
        <w:rPr>
          <w:spacing w:val="-15"/>
          <w:sz w:val="28"/>
        </w:rPr>
        <w:t> </w:t>
      </w:r>
      <w:r>
        <w:rPr>
          <w:sz w:val="28"/>
        </w:rPr>
        <w:t>at</w:t>
      </w:r>
      <w:r>
        <w:rPr>
          <w:spacing w:val="-17"/>
          <w:sz w:val="28"/>
        </w:rPr>
        <w:t> </w:t>
      </w:r>
      <w:r>
        <w:rPr>
          <w:sz w:val="28"/>
        </w:rPr>
        <w:t>least</w:t>
      </w:r>
      <w:r>
        <w:rPr>
          <w:spacing w:val="-16"/>
          <w:sz w:val="28"/>
        </w:rPr>
        <w:t> </w:t>
      </w:r>
      <w:r>
        <w:rPr>
          <w:sz w:val="28"/>
        </w:rPr>
        <w:t>400</w:t>
      </w:r>
      <w:r>
        <w:rPr>
          <w:spacing w:val="-16"/>
          <w:sz w:val="28"/>
        </w:rPr>
        <w:t> </w:t>
      </w:r>
      <w:r>
        <w:rPr>
          <w:sz w:val="28"/>
        </w:rPr>
        <w:t>to</w:t>
      </w:r>
      <w:r>
        <w:rPr>
          <w:spacing w:val="-12"/>
          <w:sz w:val="28"/>
        </w:rPr>
        <w:t> </w:t>
      </w:r>
      <w:r>
        <w:rPr>
          <w:sz w:val="28"/>
        </w:rPr>
        <w:t>500 MT cumulative capacity LR/PLR tanks, Seawater intake system (seawater line, pumps, motors, sand filters) Reservoirs (seawater and freshwater), Over head tanks, Water treatment and filtration systems (sterilizers, UV filters, RSF’s, cartridge filters etc), Algal strain room (indoor &amp; air conditioned) and mass culture room (indoor) (20 MT/day) , Artemia hatching unit (20 tanks of 500</w:t>
      </w:r>
      <w:r>
        <w:rPr>
          <w:spacing w:val="-28"/>
          <w:sz w:val="28"/>
        </w:rPr>
        <w:t> </w:t>
      </w:r>
      <w:r>
        <w:rPr>
          <w:sz w:val="28"/>
        </w:rPr>
        <w:t>litre capacity), General lab, PCR lab, Packing area, Effluent Treatment system, Tyre bath area a shower area and Compound</w:t>
      </w:r>
      <w:r>
        <w:rPr>
          <w:spacing w:val="-3"/>
          <w:sz w:val="28"/>
        </w:rPr>
        <w:t> </w:t>
      </w:r>
      <w:r>
        <w:rPr>
          <w:sz w:val="28"/>
        </w:rPr>
        <w:t>wall.</w:t>
      </w:r>
    </w:p>
    <w:p>
      <w:pPr>
        <w:pStyle w:val="BodyText"/>
        <w:spacing w:before="6"/>
        <w:rPr>
          <w:sz w:val="32"/>
        </w:rPr>
      </w:pPr>
    </w:p>
    <w:p>
      <w:pPr>
        <w:pStyle w:val="ListParagraph"/>
        <w:numPr>
          <w:ilvl w:val="3"/>
          <w:numId w:val="1"/>
        </w:numPr>
        <w:tabs>
          <w:tab w:pos="1432" w:val="left" w:leader="none"/>
        </w:tabs>
        <w:spacing w:line="237" w:lineRule="auto" w:before="0" w:after="0"/>
        <w:ind w:left="1431" w:right="740" w:hanging="452"/>
        <w:jc w:val="both"/>
        <w:rPr>
          <w:sz w:val="28"/>
        </w:rPr>
      </w:pPr>
      <w:r>
        <w:rPr>
          <w:sz w:val="28"/>
        </w:rPr>
        <w:t>Hatchery should be free from all encumbrance, legal/law &amp; order issues.</w:t>
      </w:r>
    </w:p>
    <w:p>
      <w:pPr>
        <w:pStyle w:val="BodyText"/>
        <w:spacing w:before="5"/>
        <w:rPr>
          <w:sz w:val="32"/>
        </w:rPr>
      </w:pPr>
    </w:p>
    <w:p>
      <w:pPr>
        <w:pStyle w:val="ListParagraph"/>
        <w:numPr>
          <w:ilvl w:val="3"/>
          <w:numId w:val="1"/>
        </w:numPr>
        <w:tabs>
          <w:tab w:pos="1432" w:val="left" w:leader="none"/>
        </w:tabs>
        <w:spacing w:line="242" w:lineRule="auto" w:before="0" w:after="0"/>
        <w:ind w:left="1431" w:right="740" w:hanging="452"/>
        <w:jc w:val="both"/>
        <w:rPr>
          <w:sz w:val="28"/>
        </w:rPr>
      </w:pPr>
      <w:r>
        <w:rPr>
          <w:sz w:val="28"/>
        </w:rPr>
        <w:t>The hatchery can be taken on a mutually agreeable terms with dedicated maturation and PL production staff.</w:t>
      </w:r>
    </w:p>
    <w:p>
      <w:pPr>
        <w:pStyle w:val="BodyText"/>
        <w:spacing w:before="11"/>
        <w:rPr>
          <w:sz w:val="31"/>
        </w:rPr>
      </w:pPr>
    </w:p>
    <w:p>
      <w:pPr>
        <w:pStyle w:val="ListParagraph"/>
        <w:numPr>
          <w:ilvl w:val="3"/>
          <w:numId w:val="1"/>
        </w:numPr>
        <w:tabs>
          <w:tab w:pos="1432" w:val="left" w:leader="none"/>
        </w:tabs>
        <w:spacing w:line="240" w:lineRule="auto" w:before="1" w:after="0"/>
        <w:ind w:left="1431" w:right="735" w:hanging="452"/>
        <w:jc w:val="both"/>
        <w:rPr>
          <w:sz w:val="28"/>
        </w:rPr>
      </w:pPr>
      <w:r>
        <w:rPr>
          <w:sz w:val="28"/>
        </w:rPr>
        <w:t>Initial duration of the lease period shall be 1 year w.e.f 01.06.2021 which</w:t>
      </w:r>
      <w:r>
        <w:rPr>
          <w:spacing w:val="-7"/>
          <w:sz w:val="28"/>
        </w:rPr>
        <w:t> </w:t>
      </w:r>
      <w:r>
        <w:rPr>
          <w:sz w:val="28"/>
        </w:rPr>
        <w:t>may</w:t>
      </w:r>
      <w:r>
        <w:rPr>
          <w:spacing w:val="-9"/>
          <w:sz w:val="28"/>
        </w:rPr>
        <w:t> </w:t>
      </w:r>
      <w:r>
        <w:rPr>
          <w:sz w:val="28"/>
        </w:rPr>
        <w:t>be</w:t>
      </w:r>
      <w:r>
        <w:rPr>
          <w:spacing w:val="-6"/>
          <w:sz w:val="28"/>
        </w:rPr>
        <w:t> </w:t>
      </w:r>
      <w:r>
        <w:rPr>
          <w:sz w:val="28"/>
        </w:rPr>
        <w:t>extended</w:t>
      </w:r>
      <w:r>
        <w:rPr>
          <w:spacing w:val="-9"/>
          <w:sz w:val="28"/>
        </w:rPr>
        <w:t> </w:t>
      </w:r>
      <w:r>
        <w:rPr>
          <w:sz w:val="28"/>
        </w:rPr>
        <w:t>for</w:t>
      </w:r>
      <w:r>
        <w:rPr>
          <w:spacing w:val="-8"/>
          <w:sz w:val="28"/>
        </w:rPr>
        <w:t> </w:t>
      </w:r>
      <w:r>
        <w:rPr>
          <w:sz w:val="28"/>
        </w:rPr>
        <w:t>further</w:t>
      </w:r>
      <w:r>
        <w:rPr>
          <w:spacing w:val="-8"/>
          <w:sz w:val="28"/>
        </w:rPr>
        <w:t> </w:t>
      </w:r>
      <w:r>
        <w:rPr>
          <w:sz w:val="28"/>
        </w:rPr>
        <w:t>period</w:t>
      </w:r>
      <w:r>
        <w:rPr>
          <w:spacing w:val="-9"/>
          <w:sz w:val="28"/>
        </w:rPr>
        <w:t> </w:t>
      </w:r>
      <w:r>
        <w:rPr>
          <w:sz w:val="28"/>
        </w:rPr>
        <w:t>on</w:t>
      </w:r>
      <w:r>
        <w:rPr>
          <w:spacing w:val="-6"/>
          <w:sz w:val="28"/>
        </w:rPr>
        <w:t> </w:t>
      </w:r>
      <w:r>
        <w:rPr>
          <w:sz w:val="28"/>
        </w:rPr>
        <w:t>a</w:t>
      </w:r>
      <w:r>
        <w:rPr>
          <w:spacing w:val="-8"/>
          <w:sz w:val="28"/>
        </w:rPr>
        <w:t> </w:t>
      </w:r>
      <w:r>
        <w:rPr>
          <w:sz w:val="28"/>
        </w:rPr>
        <w:t>mutually</w:t>
      </w:r>
      <w:r>
        <w:rPr>
          <w:spacing w:val="-8"/>
          <w:sz w:val="28"/>
        </w:rPr>
        <w:t> </w:t>
      </w:r>
      <w:r>
        <w:rPr>
          <w:sz w:val="28"/>
        </w:rPr>
        <w:t>agreeable terms and conditions. In this connection an MOU shall be signed by both</w:t>
      </w:r>
      <w:r>
        <w:rPr>
          <w:spacing w:val="1"/>
          <w:sz w:val="28"/>
        </w:rPr>
        <w:t> </w:t>
      </w:r>
      <w:r>
        <w:rPr>
          <w:sz w:val="28"/>
        </w:rPr>
        <w:t>parties.</w:t>
      </w:r>
    </w:p>
    <w:p>
      <w:pPr>
        <w:pStyle w:val="BodyText"/>
        <w:rPr>
          <w:sz w:val="34"/>
        </w:rPr>
      </w:pPr>
    </w:p>
    <w:p>
      <w:pPr>
        <w:pStyle w:val="BodyText"/>
        <w:spacing w:line="347" w:lineRule="exact" w:before="273"/>
        <w:ind w:right="730"/>
        <w:jc w:val="right"/>
      </w:pPr>
      <w:r>
        <w:rPr/>
        <w:t>Project</w:t>
      </w:r>
      <w:r>
        <w:rPr>
          <w:spacing w:val="-4"/>
        </w:rPr>
        <w:t> </w:t>
      </w:r>
      <w:r>
        <w:rPr/>
        <w:t>Director</w:t>
      </w:r>
    </w:p>
    <w:p>
      <w:pPr>
        <w:pStyle w:val="BodyText"/>
        <w:spacing w:line="347" w:lineRule="exact"/>
        <w:ind w:right="738"/>
        <w:jc w:val="right"/>
      </w:pPr>
      <w:r>
        <w:rPr>
          <w:spacing w:val="-1"/>
          <w:w w:val="95"/>
        </w:rPr>
        <w:t>RGCA</w:t>
      </w:r>
    </w:p>
    <w:sectPr>
      <w:pgSz w:w="11900" w:h="16840"/>
      <w:pgMar w:top="1360" w:bottom="280" w:left="8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Calibri">
    <w:altName w:val="Calibri"/>
    <w:charset w:val="0"/>
    <w:family w:val="swiss"/>
    <w:pitch w:val="variable"/>
  </w:font>
  <w:font w:name="Bookman Old Style">
    <w:altName w:val="Bookman Old Style"/>
    <w:charset w:val="0"/>
    <w:family w:val="roman"/>
    <w:pitch w:val="variable"/>
  </w:font>
  <w:font w:name="Book Antiqua">
    <w:altName w:val="Book Antiqua"/>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3"/>
      <w:numFmt w:val="lowerLetter"/>
      <w:lvlText w:val="%1"/>
      <w:lvlJc w:val="left"/>
      <w:pPr>
        <w:ind w:left="620" w:hanging="706"/>
        <w:jc w:val="left"/>
      </w:pPr>
      <w:rPr>
        <w:rFonts w:hint="default"/>
        <w:lang w:val="en-US" w:eastAsia="en-US" w:bidi="en-US"/>
      </w:rPr>
    </w:lvl>
    <w:lvl w:ilvl="1">
      <w:start w:val="5"/>
      <w:numFmt w:val="lowerLetter"/>
      <w:lvlText w:val="%1.%2"/>
      <w:lvlJc w:val="left"/>
      <w:pPr>
        <w:ind w:left="620" w:hanging="706"/>
        <w:jc w:val="left"/>
      </w:pPr>
      <w:rPr>
        <w:rFonts w:hint="default"/>
        <w:lang w:val="en-US" w:eastAsia="en-US" w:bidi="en-US"/>
      </w:rPr>
    </w:lvl>
    <w:lvl w:ilvl="2">
      <w:start w:val="6"/>
      <w:numFmt w:val="lowerLetter"/>
      <w:lvlText w:val="%1.%2.%3"/>
      <w:lvlJc w:val="left"/>
      <w:pPr>
        <w:ind w:left="620" w:hanging="706"/>
        <w:jc w:val="left"/>
      </w:pPr>
      <w:rPr>
        <w:rFonts w:hint="default" w:ascii="Book Antiqua" w:hAnsi="Book Antiqua" w:eastAsia="Book Antiqua" w:cs="Book Antiqua"/>
        <w:spacing w:val="-2"/>
        <w:w w:val="99"/>
        <w:sz w:val="28"/>
        <w:szCs w:val="28"/>
        <w:lang w:val="en-US" w:eastAsia="en-US" w:bidi="en-US"/>
      </w:rPr>
    </w:lvl>
    <w:lvl w:ilvl="3">
      <w:start w:val="1"/>
      <w:numFmt w:val="decimal"/>
      <w:lvlText w:val="%4."/>
      <w:lvlJc w:val="left"/>
      <w:pPr>
        <w:ind w:left="1431" w:hanging="452"/>
        <w:jc w:val="left"/>
      </w:pPr>
      <w:rPr>
        <w:rFonts w:hint="default" w:ascii="Book Antiqua" w:hAnsi="Book Antiqua" w:eastAsia="Book Antiqua" w:cs="Book Antiqua"/>
        <w:w w:val="99"/>
        <w:sz w:val="28"/>
        <w:szCs w:val="28"/>
        <w:lang w:val="en-US" w:eastAsia="en-US" w:bidi="en-US"/>
      </w:rPr>
    </w:lvl>
    <w:lvl w:ilvl="4">
      <w:start w:val="0"/>
      <w:numFmt w:val="bullet"/>
      <w:lvlText w:val="•"/>
      <w:lvlJc w:val="left"/>
      <w:pPr>
        <w:ind w:left="4420" w:hanging="452"/>
      </w:pPr>
      <w:rPr>
        <w:rFonts w:hint="default"/>
        <w:lang w:val="en-US" w:eastAsia="en-US" w:bidi="en-US"/>
      </w:rPr>
    </w:lvl>
    <w:lvl w:ilvl="5">
      <w:start w:val="0"/>
      <w:numFmt w:val="bullet"/>
      <w:lvlText w:val="•"/>
      <w:lvlJc w:val="left"/>
      <w:pPr>
        <w:ind w:left="5413" w:hanging="452"/>
      </w:pPr>
      <w:rPr>
        <w:rFonts w:hint="default"/>
        <w:lang w:val="en-US" w:eastAsia="en-US" w:bidi="en-US"/>
      </w:rPr>
    </w:lvl>
    <w:lvl w:ilvl="6">
      <w:start w:val="0"/>
      <w:numFmt w:val="bullet"/>
      <w:lvlText w:val="•"/>
      <w:lvlJc w:val="left"/>
      <w:pPr>
        <w:ind w:left="6406" w:hanging="452"/>
      </w:pPr>
      <w:rPr>
        <w:rFonts w:hint="default"/>
        <w:lang w:val="en-US" w:eastAsia="en-US" w:bidi="en-US"/>
      </w:rPr>
    </w:lvl>
    <w:lvl w:ilvl="7">
      <w:start w:val="0"/>
      <w:numFmt w:val="bullet"/>
      <w:lvlText w:val="•"/>
      <w:lvlJc w:val="left"/>
      <w:pPr>
        <w:ind w:left="7400" w:hanging="452"/>
      </w:pPr>
      <w:rPr>
        <w:rFonts w:hint="default"/>
        <w:lang w:val="en-US" w:eastAsia="en-US" w:bidi="en-US"/>
      </w:rPr>
    </w:lvl>
    <w:lvl w:ilvl="8">
      <w:start w:val="0"/>
      <w:numFmt w:val="bullet"/>
      <w:lvlText w:val="•"/>
      <w:lvlJc w:val="left"/>
      <w:pPr>
        <w:ind w:left="8393" w:hanging="452"/>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en-US"/>
    </w:rPr>
  </w:style>
  <w:style w:styleId="BodyText" w:type="paragraph">
    <w:name w:val="Body Text"/>
    <w:basedOn w:val="Normal"/>
    <w:uiPriority w:val="1"/>
    <w:qFormat/>
    <w:pPr/>
    <w:rPr>
      <w:rFonts w:ascii="Book Antiqua" w:hAnsi="Book Antiqua" w:eastAsia="Book Antiqua" w:cs="Book Antiqua"/>
      <w:sz w:val="28"/>
      <w:szCs w:val="28"/>
      <w:lang w:val="en-US" w:eastAsia="en-US" w:bidi="en-US"/>
    </w:rPr>
  </w:style>
  <w:style w:styleId="Heading1" w:type="paragraph">
    <w:name w:val="Heading 1"/>
    <w:basedOn w:val="Normal"/>
    <w:uiPriority w:val="1"/>
    <w:qFormat/>
    <w:pPr>
      <w:ind w:left="1834"/>
      <w:outlineLvl w:val="1"/>
    </w:pPr>
    <w:rPr>
      <w:rFonts w:ascii="Book Antiqua" w:hAnsi="Book Antiqua" w:eastAsia="Book Antiqua" w:cs="Book Antiqua"/>
      <w:b/>
      <w:bCs/>
      <w:sz w:val="28"/>
      <w:szCs w:val="28"/>
      <w:lang w:val="en-US" w:eastAsia="en-US" w:bidi="en-US"/>
    </w:rPr>
  </w:style>
  <w:style w:styleId="ListParagraph" w:type="paragraph">
    <w:name w:val="List Paragraph"/>
    <w:basedOn w:val="Normal"/>
    <w:uiPriority w:val="1"/>
    <w:qFormat/>
    <w:pPr>
      <w:ind w:left="1431" w:right="734" w:hanging="452"/>
      <w:jc w:val="both"/>
    </w:pPr>
    <w:rPr>
      <w:rFonts w:ascii="Book Antiqua" w:hAnsi="Book Antiqua" w:eastAsia="Book Antiqua" w:cs="Book Antiqua"/>
      <w:lang w:val="en-US" w:eastAsia="en-US" w:bidi="en-US"/>
    </w:rPr>
  </w:style>
  <w:style w:styleId="TableParagraph" w:type="paragraph">
    <w:name w:val="Table Paragraph"/>
    <w:basedOn w:val="Normal"/>
    <w:uiPriority w:val="1"/>
    <w:qFormat/>
    <w:pPr>
      <w:ind w:left="130"/>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rgcaho@gmail.com" TargetMode="External"/><Relationship Id="rId7" Type="http://schemas.openxmlformats.org/officeDocument/2006/relationships/hyperlink" Target="mailto:rgcavannameibmc@gmail.com" TargetMode="Externa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ADMIN(PA)</dc:creator>
  <dc:title>Microsoft Word - Leasing of L. vannamei Shrimp Hatcheries</dc:title>
  <dcterms:created xsi:type="dcterms:W3CDTF">2021-04-07T15:30:52Z</dcterms:created>
  <dcterms:modified xsi:type="dcterms:W3CDTF">2021-04-07T15:30:52Z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 Leasing of L. vannamei Shrimp Hatcheries</vt:lpwstr>
  </property>
  <property fmtid="{D5CDD505-2E9C-101B-9397-08002B2CF9AE}" pid="4" name="LastSaved">
    <vt:filetime>2021-04-07T00:00:00Z</vt:filetime>
  </property>
</Properties>
</file>